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proofErr w:type="gramStart"/>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w:t>
      </w:r>
      <w:proofErr w:type="gramEnd"/>
      <w:r w:rsidRPr="00AC52F9">
        <w:rPr>
          <w:rFonts w:ascii="Times New Roman" w:hAnsi="Times New Roman" w:cs="Times New Roman"/>
          <w:sz w:val="19"/>
          <w:szCs w:val="19"/>
        </w:rPr>
        <w:t>___» ____________ 20</w:t>
      </w:r>
      <w:r w:rsidR="00AC52F9">
        <w:rPr>
          <w:rFonts w:ascii="Times New Roman" w:hAnsi="Times New Roman" w:cs="Times New Roman"/>
          <w:sz w:val="19"/>
          <w:szCs w:val="19"/>
        </w:rPr>
        <w:t>21</w:t>
      </w:r>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44.02.0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6C7D67">
        <w:rPr>
          <w:rFonts w:ascii="Times New Roman" w:hAnsi="Times New Roman" w:cs="Times New Roman"/>
          <w:sz w:val="19"/>
          <w:szCs w:val="19"/>
          <w:u w:val="single"/>
        </w:rPr>
        <w:t>Дошкольное образование</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0"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1" w:name="bookmark1"/>
      <w:bookmarkEnd w:id="0"/>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1"/>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2F2647" w:rsidP="00AC52F9">
            <w:pPr>
              <w:ind w:left="178"/>
              <w:rPr>
                <w:rStyle w:val="1"/>
                <w:u w:val="none"/>
              </w:rPr>
            </w:pPr>
            <w:r>
              <w:rPr>
                <w:rStyle w:val="1"/>
                <w:u w:val="none"/>
              </w:rPr>
              <w:t xml:space="preserve">Тел. </w:t>
            </w:r>
            <w:bookmarkStart w:id="2" w:name="_GoBack"/>
            <w:r w:rsidRPr="002F2647">
              <w:rPr>
                <w:rStyle w:val="1"/>
              </w:rPr>
              <w:t>__________________________________</w:t>
            </w:r>
            <w:bookmarkEnd w:id="2"/>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proofErr w:type="spellStart"/>
            <w:r w:rsidRPr="00AC52F9">
              <w:rPr>
                <w:sz w:val="19"/>
                <w:szCs w:val="19"/>
                <w:u w:val="single"/>
              </w:rPr>
              <w:t>Зандараев</w:t>
            </w:r>
            <w:proofErr w:type="spellEnd"/>
            <w:r w:rsidRPr="00AC52F9">
              <w:rPr>
                <w:sz w:val="19"/>
                <w:szCs w:val="19"/>
                <w:u w:val="single"/>
              </w:rPr>
              <w:t xml:space="preserve">  </w:t>
            </w:r>
          </w:p>
        </w:tc>
        <w:tc>
          <w:tcPr>
            <w:tcW w:w="4810" w:type="dxa"/>
            <w:tcBorders>
              <w:bottom w:val="single" w:sz="4" w:space="0" w:color="auto"/>
            </w:tcBorders>
            <w:shd w:val="clear" w:color="auto" w:fill="FFFFFF"/>
            <w:vAlign w:val="bottom"/>
          </w:tcPr>
          <w:p w:rsidR="00AC52F9" w:rsidRPr="00AC52F9" w:rsidRDefault="002F2647" w:rsidP="00AC52F9">
            <w:pPr>
              <w:ind w:left="178"/>
              <w:rPr>
                <w:b/>
                <w:sz w:val="19"/>
                <w:szCs w:val="19"/>
              </w:rPr>
            </w:pPr>
            <w:r w:rsidRPr="00AC52F9">
              <w:rPr>
                <w:rStyle w:val="1"/>
                <w:u w:val="none"/>
              </w:rPr>
              <w:t>Подпись:</w:t>
            </w: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w:t>
      </w:r>
      <w:proofErr w:type="spellStart"/>
      <w:r w:rsidR="00566AA3" w:rsidRPr="00AC52F9">
        <w:rPr>
          <w:rFonts w:ascii="Times New Roman" w:hAnsi="Times New Roman" w:cs="Times New Roman"/>
          <w:b/>
          <w:sz w:val="19"/>
          <w:szCs w:val="19"/>
        </w:rPr>
        <w:t>Зандараев</w:t>
      </w:r>
      <w:proofErr w:type="spellEnd"/>
      <w:r w:rsidR="00566AA3" w:rsidRPr="00AC52F9">
        <w:rPr>
          <w:rFonts w:ascii="Times New Roman" w:hAnsi="Times New Roman" w:cs="Times New Roman"/>
          <w:b/>
          <w:sz w:val="19"/>
          <w:szCs w:val="19"/>
        </w:rPr>
        <w:t xml:space="preserve">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EDA" w:rsidRDefault="00093EDA" w:rsidP="001A371C">
      <w:r>
        <w:separator/>
      </w:r>
    </w:p>
  </w:endnote>
  <w:endnote w:type="continuationSeparator" w:id="0">
    <w:p w:rsidR="00093EDA" w:rsidRDefault="00093EDA"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EDA" w:rsidRDefault="00093EDA" w:rsidP="001A371C">
      <w:r>
        <w:separator/>
      </w:r>
    </w:p>
  </w:footnote>
  <w:footnote w:type="continuationSeparator" w:id="0">
    <w:p w:rsidR="00093EDA" w:rsidRDefault="00093EDA"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093EDA"/>
    <w:rsid w:val="00107B6D"/>
    <w:rsid w:val="00187A42"/>
    <w:rsid w:val="001976AB"/>
    <w:rsid w:val="001A371C"/>
    <w:rsid w:val="0025319C"/>
    <w:rsid w:val="0027348F"/>
    <w:rsid w:val="00290B58"/>
    <w:rsid w:val="002A0AFB"/>
    <w:rsid w:val="002F2647"/>
    <w:rsid w:val="00327ED5"/>
    <w:rsid w:val="003477F2"/>
    <w:rsid w:val="003614CB"/>
    <w:rsid w:val="004321D7"/>
    <w:rsid w:val="00444354"/>
    <w:rsid w:val="004B3674"/>
    <w:rsid w:val="00543566"/>
    <w:rsid w:val="00566AA3"/>
    <w:rsid w:val="005E3116"/>
    <w:rsid w:val="006C7D67"/>
    <w:rsid w:val="0071461E"/>
    <w:rsid w:val="007449A5"/>
    <w:rsid w:val="008668B1"/>
    <w:rsid w:val="00877503"/>
    <w:rsid w:val="008B4496"/>
    <w:rsid w:val="008E1EC8"/>
    <w:rsid w:val="008E7558"/>
    <w:rsid w:val="009557CE"/>
    <w:rsid w:val="00A2594E"/>
    <w:rsid w:val="00A50959"/>
    <w:rsid w:val="00A810D4"/>
    <w:rsid w:val="00A835BB"/>
    <w:rsid w:val="00AA5B73"/>
    <w:rsid w:val="00AC52F9"/>
    <w:rsid w:val="00B06701"/>
    <w:rsid w:val="00B34F64"/>
    <w:rsid w:val="00B55DCB"/>
    <w:rsid w:val="00C24ACD"/>
    <w:rsid w:val="00C6282C"/>
    <w:rsid w:val="00D55974"/>
    <w:rsid w:val="00E23722"/>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21B31"/>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2276E-2BC4-47EB-A937-E1EDBCE1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3</cp:revision>
  <cp:lastPrinted>2021-07-09T02:18:00Z</cp:lastPrinted>
  <dcterms:created xsi:type="dcterms:W3CDTF">2021-07-09T02:18:00Z</dcterms:created>
  <dcterms:modified xsi:type="dcterms:W3CDTF">2021-07-09T02:25:00Z</dcterms:modified>
</cp:coreProperties>
</file>